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5D" w:rsidRPr="00B6675D" w:rsidRDefault="00B6675D" w:rsidP="00B6675D">
      <w:pPr>
        <w:pStyle w:val="a3"/>
        <w:shd w:val="clear" w:color="auto" w:fill="FFFFFF"/>
        <w:spacing w:before="0" w:beforeAutospacing="0" w:after="0" w:afterAutospacing="0"/>
        <w:jc w:val="center"/>
        <w:rPr>
          <w:color w:val="181818"/>
        </w:rPr>
      </w:pPr>
      <w:r w:rsidRPr="00B6675D">
        <w:rPr>
          <w:color w:val="000000"/>
        </w:rPr>
        <w:t>Консультация для педагогов ДОУ</w:t>
      </w:r>
    </w:p>
    <w:p w:rsidR="00B6675D" w:rsidRPr="00B6675D" w:rsidRDefault="00B6675D" w:rsidP="00B6675D">
      <w:pPr>
        <w:pStyle w:val="a3"/>
        <w:shd w:val="clear" w:color="auto" w:fill="FFFFFF"/>
        <w:spacing w:before="0" w:beforeAutospacing="0" w:after="0" w:afterAutospacing="0"/>
        <w:jc w:val="center"/>
        <w:rPr>
          <w:color w:val="181818"/>
        </w:rPr>
      </w:pPr>
      <w:r w:rsidRPr="00B6675D">
        <w:rPr>
          <w:b/>
          <w:bCs/>
          <w:color w:val="000000"/>
        </w:rPr>
        <w:t>«</w:t>
      </w:r>
      <w:r w:rsidRPr="00B6675D">
        <w:rPr>
          <w:b/>
          <w:bCs/>
          <w:color w:val="000000"/>
        </w:rPr>
        <w:t>Рациональное зонирование</w:t>
      </w:r>
      <w:r w:rsidRPr="00B6675D">
        <w:rPr>
          <w:b/>
          <w:bCs/>
          <w:color w:val="000000"/>
        </w:rPr>
        <w:t xml:space="preserve"> развивающей предметно - пространственной среды в </w:t>
      </w:r>
      <w:r w:rsidRPr="00B6675D">
        <w:rPr>
          <w:b/>
          <w:bCs/>
          <w:color w:val="000000"/>
        </w:rPr>
        <w:t>группе</w:t>
      </w:r>
      <w:r w:rsidRPr="00B6675D">
        <w:rPr>
          <w:b/>
          <w:bCs/>
          <w:color w:val="000000"/>
        </w:rPr>
        <w:t>»</w:t>
      </w:r>
    </w:p>
    <w:p w:rsidR="00B6675D" w:rsidRDefault="00B6675D" w:rsidP="00B6675D">
      <w:pPr>
        <w:pStyle w:val="a3"/>
        <w:shd w:val="clear" w:color="auto" w:fill="FFFFFF"/>
        <w:spacing w:before="0" w:beforeAutospacing="0" w:after="0" w:afterAutospacing="0"/>
        <w:jc w:val="both"/>
        <w:rPr>
          <w:color w:val="000000"/>
        </w:rPr>
      </w:pPr>
    </w:p>
    <w:p w:rsidR="00B6675D" w:rsidRPr="00B6675D" w:rsidRDefault="00B6675D" w:rsidP="00B6675D">
      <w:pPr>
        <w:pStyle w:val="a3"/>
        <w:shd w:val="clear" w:color="auto" w:fill="FFFFFF"/>
        <w:spacing w:before="0" w:beforeAutospacing="0" w:after="0" w:afterAutospacing="0"/>
        <w:jc w:val="both"/>
        <w:rPr>
          <w:color w:val="000000"/>
        </w:rPr>
      </w:pPr>
      <w:proofErr w:type="spellStart"/>
      <w:r w:rsidRPr="00B6675D">
        <w:rPr>
          <w:color w:val="000000"/>
        </w:rPr>
        <w:t>одготовила</w:t>
      </w:r>
      <w:proofErr w:type="spellEnd"/>
      <w:r w:rsidRPr="00B6675D">
        <w:rPr>
          <w:color w:val="000000"/>
        </w:rPr>
        <w:t xml:space="preserve"> воспитатель МДОУ «Детский сад № 155» Додонова М.В.</w:t>
      </w:r>
    </w:p>
    <w:p w:rsidR="00B6675D" w:rsidRPr="00B6675D" w:rsidRDefault="00B6675D" w:rsidP="00B6675D">
      <w:pPr>
        <w:pStyle w:val="a3"/>
        <w:shd w:val="clear" w:color="auto" w:fill="FFFFFF"/>
        <w:spacing w:before="0" w:beforeAutospacing="0" w:after="0" w:afterAutospacing="0"/>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Организация РППС Федеральный государственный стандарт дошкольного образования (ФГОС)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Цели организации РППС ДОУ:</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 обеспечение максимальной реализации образовательного потенциала пространства;</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 обеспечение полноценного общения и совместной деятельности детей и взрослых;</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 обеспечение реализации различных общеобразовательных программ.</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Образовательная среда – совокупность условий, целенаправленно создаваемых в целях обеспечения полноценного образования и развития детей.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Организация развивающей предметно-пространственной среды должна осуществляться по всем видам деятельности и охватывать все образовательные области, определенные в ФГОС дошкольного образования. При создании развивающего пространства в групповом помещении необходимо учитывать ведущую роль игровой деятельности. Созданная в группах обстановка должна успокаивать, уравновешивать эмоциональный фон, положительно влиять на нервную систему ребенка. Все это должно проявляться в спокойном поведении и содержательной деятельности. В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Требования к РППС</w:t>
      </w:r>
      <w:r w:rsidRPr="00B6675D">
        <w:rPr>
          <w:color w:val="000000"/>
        </w:rPr>
        <w:t>. Развивающая предметно-пространственная среда должна быть:</w:t>
      </w:r>
    </w:p>
    <w:p w:rsidR="00B6675D" w:rsidRPr="00B6675D" w:rsidRDefault="00B6675D" w:rsidP="00B6675D">
      <w:pPr>
        <w:pStyle w:val="a3"/>
        <w:numPr>
          <w:ilvl w:val="0"/>
          <w:numId w:val="1"/>
        </w:numPr>
        <w:shd w:val="clear" w:color="auto" w:fill="FFFFFF"/>
        <w:spacing w:before="0" w:beforeAutospacing="0" w:after="0" w:afterAutospacing="0" w:line="210" w:lineRule="atLeast"/>
        <w:ind w:left="0"/>
        <w:jc w:val="both"/>
        <w:rPr>
          <w:color w:val="181818"/>
        </w:rPr>
      </w:pPr>
      <w:r w:rsidRPr="00B6675D">
        <w:rPr>
          <w:color w:val="000000"/>
        </w:rPr>
        <w:t>Насыщенной;</w:t>
      </w:r>
    </w:p>
    <w:p w:rsidR="00B6675D" w:rsidRPr="00B6675D" w:rsidRDefault="00B6675D" w:rsidP="00B6675D">
      <w:pPr>
        <w:pStyle w:val="a3"/>
        <w:numPr>
          <w:ilvl w:val="0"/>
          <w:numId w:val="1"/>
        </w:numPr>
        <w:shd w:val="clear" w:color="auto" w:fill="FFFFFF"/>
        <w:spacing w:before="0" w:beforeAutospacing="0" w:after="0" w:afterAutospacing="0" w:line="210" w:lineRule="atLeast"/>
        <w:ind w:left="0"/>
        <w:jc w:val="both"/>
        <w:rPr>
          <w:color w:val="181818"/>
        </w:rPr>
      </w:pPr>
      <w:r w:rsidRPr="00B6675D">
        <w:rPr>
          <w:color w:val="000000"/>
        </w:rPr>
        <w:t>Трансформируемой;</w:t>
      </w:r>
    </w:p>
    <w:p w:rsidR="00B6675D" w:rsidRPr="00B6675D" w:rsidRDefault="00B6675D" w:rsidP="00B6675D">
      <w:pPr>
        <w:pStyle w:val="a3"/>
        <w:numPr>
          <w:ilvl w:val="0"/>
          <w:numId w:val="1"/>
        </w:numPr>
        <w:shd w:val="clear" w:color="auto" w:fill="FFFFFF"/>
        <w:spacing w:before="0" w:beforeAutospacing="0" w:after="0" w:afterAutospacing="0" w:line="210" w:lineRule="atLeast"/>
        <w:ind w:left="0"/>
        <w:jc w:val="both"/>
        <w:rPr>
          <w:color w:val="181818"/>
        </w:rPr>
      </w:pPr>
      <w:r w:rsidRPr="00B6675D">
        <w:rPr>
          <w:color w:val="000000"/>
        </w:rPr>
        <w:t>Полифункциональной;</w:t>
      </w:r>
    </w:p>
    <w:p w:rsidR="00B6675D" w:rsidRPr="00B6675D" w:rsidRDefault="00B6675D" w:rsidP="00B6675D">
      <w:pPr>
        <w:pStyle w:val="a3"/>
        <w:numPr>
          <w:ilvl w:val="0"/>
          <w:numId w:val="1"/>
        </w:numPr>
        <w:shd w:val="clear" w:color="auto" w:fill="FFFFFF"/>
        <w:spacing w:before="0" w:beforeAutospacing="0" w:after="0" w:afterAutospacing="0" w:line="210" w:lineRule="atLeast"/>
        <w:ind w:left="0"/>
        <w:jc w:val="both"/>
        <w:rPr>
          <w:color w:val="181818"/>
        </w:rPr>
      </w:pPr>
      <w:r w:rsidRPr="00B6675D">
        <w:rPr>
          <w:color w:val="000000"/>
        </w:rPr>
        <w:t>Вариативной;</w:t>
      </w:r>
    </w:p>
    <w:p w:rsidR="00B6675D" w:rsidRPr="00B6675D" w:rsidRDefault="00B6675D" w:rsidP="00B6675D">
      <w:pPr>
        <w:pStyle w:val="a3"/>
        <w:numPr>
          <w:ilvl w:val="0"/>
          <w:numId w:val="1"/>
        </w:numPr>
        <w:shd w:val="clear" w:color="auto" w:fill="FFFFFF"/>
        <w:spacing w:before="0" w:beforeAutospacing="0" w:after="0" w:afterAutospacing="0" w:line="210" w:lineRule="atLeast"/>
        <w:ind w:left="0"/>
        <w:jc w:val="both"/>
        <w:rPr>
          <w:color w:val="181818"/>
        </w:rPr>
      </w:pPr>
      <w:r w:rsidRPr="00B6675D">
        <w:rPr>
          <w:color w:val="000000"/>
        </w:rPr>
        <w:t>Доступной;</w:t>
      </w:r>
    </w:p>
    <w:p w:rsidR="00B6675D" w:rsidRPr="00B6675D" w:rsidRDefault="00B6675D" w:rsidP="00B6675D">
      <w:pPr>
        <w:pStyle w:val="a3"/>
        <w:numPr>
          <w:ilvl w:val="0"/>
          <w:numId w:val="1"/>
        </w:numPr>
        <w:shd w:val="clear" w:color="auto" w:fill="FFFFFF"/>
        <w:spacing w:before="0" w:beforeAutospacing="0" w:after="0" w:afterAutospacing="0" w:line="210" w:lineRule="atLeast"/>
        <w:ind w:left="0"/>
        <w:jc w:val="both"/>
        <w:rPr>
          <w:color w:val="181818"/>
        </w:rPr>
      </w:pPr>
      <w:r w:rsidRPr="00B6675D">
        <w:rPr>
          <w:color w:val="000000"/>
        </w:rPr>
        <w:t>Безопасной.</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Важно при формировании предметно-пространственной среды учитывать следующие </w:t>
      </w:r>
      <w:r w:rsidRPr="00B6675D">
        <w:rPr>
          <w:b/>
          <w:bCs/>
          <w:color w:val="000000"/>
        </w:rPr>
        <w:t>принципы </w:t>
      </w:r>
      <w:r w:rsidRPr="00B6675D">
        <w:rPr>
          <w:color w:val="000000"/>
        </w:rPr>
        <w:t>её </w:t>
      </w:r>
      <w:r w:rsidRPr="00B6675D">
        <w:rPr>
          <w:b/>
          <w:bCs/>
          <w:color w:val="000000"/>
        </w:rPr>
        <w:t>построения,</w:t>
      </w:r>
      <w:r w:rsidRPr="00B6675D">
        <w:rPr>
          <w:color w:val="000000"/>
        </w:rPr>
        <w:t> рекомендованные ФГОС:</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Принцип дистанции</w:t>
      </w:r>
      <w:r w:rsidRPr="00B6675D">
        <w:rPr>
          <w:color w:val="000000"/>
        </w:rPr>
        <w:t>, позиции при взаимодействии. Первоочередным условием личностно-ориентированной модели является установление контакта на основе пространственного принципа «глаза в глаза».</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lastRenderedPageBreak/>
        <w:t>Принцип активности</w:t>
      </w:r>
      <w:r w:rsidRPr="00B6675D">
        <w:rPr>
          <w:color w:val="000000"/>
        </w:rPr>
        <w:t>.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Принцип стабильности</w:t>
      </w:r>
      <w:r w:rsidRPr="00B6675D">
        <w:rPr>
          <w:color w:val="000000"/>
        </w:rPr>
        <w:t> </w:t>
      </w:r>
      <w:r w:rsidRPr="00B6675D">
        <w:rPr>
          <w:i/>
          <w:iCs/>
          <w:color w:val="000000"/>
        </w:rPr>
        <w:t>- динамичности</w:t>
      </w:r>
      <w:r w:rsidRPr="00B6675D">
        <w:rPr>
          <w:color w:val="000000"/>
        </w:rPr>
        <w:t> развивающей среды должна быть заложена возможность её изменения. В интерьере должны выделяться определённые многофункциональные легко трансформируемые элементы при сохранении общей, смысловой целостности.</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Принцип комплексирования и гибкого зонирования</w:t>
      </w:r>
      <w:r w:rsidRPr="00B6675D">
        <w:rPr>
          <w:color w:val="000000"/>
        </w:rPr>
        <w:t>: давать возможность построения непересекающихся сфер активности.</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 xml:space="preserve">Принцип </w:t>
      </w:r>
      <w:proofErr w:type="spellStart"/>
      <w:r w:rsidRPr="00B6675D">
        <w:rPr>
          <w:i/>
          <w:iCs/>
          <w:color w:val="000000"/>
        </w:rPr>
        <w:t>эмоциогенности</w:t>
      </w:r>
      <w:proofErr w:type="spellEnd"/>
      <w:r w:rsidRPr="00B6675D">
        <w:rPr>
          <w:i/>
          <w:iCs/>
          <w:color w:val="000000"/>
        </w:rPr>
        <w:t xml:space="preserve"> среды</w:t>
      </w:r>
      <w:r w:rsidRPr="00B6675D">
        <w:rPr>
          <w:color w:val="000000"/>
        </w:rPr>
        <w:t>, индивидуальной комфортности и эмоционального благополучия каждого ребёнка и взрослого. Среда должна быть организована так, чтобы она побуждала детей взаимодействовать с её различными элементами, повышая тем самым функциональную активность ребёнка.</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Принцип открытости – закрытости.</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Принцип учёта половых и возрастных различий детей</w:t>
      </w:r>
      <w:r w:rsidRPr="00B6675D">
        <w:rPr>
          <w:color w:val="000000"/>
        </w:rPr>
        <w:t>.</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Формирование РППС ДОУ</w:t>
      </w:r>
      <w:r w:rsidRPr="00B6675D">
        <w:rPr>
          <w:color w:val="000000"/>
        </w:rPr>
        <w:t>: Согласно ФГОС, пространство группы может организовываться в виде различных зон (секторов). В среде необходимо выделить следующие зоны для разного рода видов активности: I-рабочая зона – 30 % помещения; II-активная зона - 50 % помещения; III-спокойная зона – 20 % помещения.</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Пространство зон:</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 собственные границы зо</w:t>
      </w:r>
      <w:proofErr w:type="gramStart"/>
      <w:r w:rsidRPr="00B6675D">
        <w:rPr>
          <w:color w:val="000000"/>
        </w:rPr>
        <w:t>н-</w:t>
      </w:r>
      <w:proofErr w:type="gramEnd"/>
      <w:r w:rsidRPr="00B6675D">
        <w:rPr>
          <w:color w:val="000000"/>
        </w:rPr>
        <w:t xml:space="preserve"> вдоль стен, наглухо закрепленных шкафов, стеллажей.</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color w:val="000000"/>
        </w:rPr>
        <w:t>- подвижные границы между зонами (места хранения материалов) – перемещающиеся стеллажи, витрины, ширмы, двухсторонние мольберты, крупные объемные модули.</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Наполнение зон:</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Спокойная зона.</w:t>
      </w:r>
      <w:r w:rsidRPr="00B6675D">
        <w:rPr>
          <w:color w:val="000000"/>
        </w:rPr>
        <w:t xml:space="preserve"> Пространство зоны: небольшой ковер, легкие </w:t>
      </w:r>
      <w:proofErr w:type="spellStart"/>
      <w:r w:rsidRPr="00B6675D">
        <w:rPr>
          <w:color w:val="000000"/>
        </w:rPr>
        <w:t>банкетки</w:t>
      </w:r>
      <w:proofErr w:type="spellEnd"/>
      <w:r w:rsidRPr="00B6675D">
        <w:rPr>
          <w:color w:val="000000"/>
        </w:rPr>
        <w:t xml:space="preserve"> или диван-</w:t>
      </w:r>
      <w:proofErr w:type="spellStart"/>
      <w:r w:rsidRPr="00B6675D">
        <w:rPr>
          <w:color w:val="000000"/>
        </w:rPr>
        <w:t>трансформер</w:t>
      </w:r>
      <w:proofErr w:type="spellEnd"/>
      <w:r w:rsidRPr="00B6675D">
        <w:rPr>
          <w:color w:val="000000"/>
        </w:rPr>
        <w:t>, 1-2 легких столика. На собственных границах зоны: Для чтения художественной литературы – подборка художественных текстов по возрасту с хорошими иллюстрациями. Для познавательно-исследовательской деятельности – книги познавательного характера, тематические альбомы, словари, атласы, образно-символические и нормативно-знаковые материалы. Для игровой деятельности – настольные игры с правилами, наборы для сюжетно-режиссерских игр.</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Активная зона.</w:t>
      </w:r>
      <w:r w:rsidRPr="00B6675D">
        <w:rPr>
          <w:color w:val="000000"/>
        </w:rPr>
        <w:t> Пространство зоны: ковер (небольшой, легко перемещающийся или убирающийся – по ситуации). На собственных границах зон</w:t>
      </w:r>
      <w:proofErr w:type="gramStart"/>
      <w:r w:rsidRPr="00B6675D">
        <w:rPr>
          <w:color w:val="000000"/>
        </w:rPr>
        <w:t>ы-</w:t>
      </w:r>
      <w:proofErr w:type="gramEnd"/>
      <w:r w:rsidRPr="00B6675D">
        <w:rPr>
          <w:color w:val="000000"/>
        </w:rPr>
        <w:t xml:space="preserve"> на стеллажах и легких столах. Для сюжетно-ролевой игры – игрушки разных сюжетообразующих типов, в том числе напольные тематические строительные наборы, переносные игровые макеты. Для продуктивной деятельности – крупные напольные конструкторы.</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Рабочая зона.</w:t>
      </w:r>
      <w:r w:rsidRPr="00B6675D">
        <w:rPr>
          <w:color w:val="000000"/>
        </w:rPr>
        <w:t xml:space="preserve"> Пространство зоны: легкие столы на 2-х, соединяющиеся в общий стол, или большой общий стол - </w:t>
      </w:r>
      <w:proofErr w:type="spellStart"/>
      <w:r w:rsidRPr="00B6675D">
        <w:rPr>
          <w:color w:val="000000"/>
        </w:rPr>
        <w:t>трансформер</w:t>
      </w:r>
      <w:proofErr w:type="spellEnd"/>
      <w:r w:rsidRPr="00B6675D">
        <w:rPr>
          <w:color w:val="000000"/>
        </w:rPr>
        <w:t xml:space="preserve">, доска. На границах зоны – стеллажах, открытых полках шкафов, легких столах. Для продуктивной деятельности - изобразительные, бросовые материалы, настольные конструкторы. Для </w:t>
      </w:r>
      <w:proofErr w:type="gramStart"/>
      <w:r w:rsidRPr="00B6675D">
        <w:rPr>
          <w:color w:val="000000"/>
        </w:rPr>
        <w:t>познавательно-исследовательской</w:t>
      </w:r>
      <w:proofErr w:type="gramEnd"/>
      <w:r w:rsidRPr="00B6675D">
        <w:rPr>
          <w:color w:val="000000"/>
        </w:rPr>
        <w:t xml:space="preserve"> - объекты для экспериментирования, образно-символические и нормативно-знаковые материалы.</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На границах между зонами </w:t>
      </w:r>
      <w:r w:rsidRPr="00B6675D">
        <w:rPr>
          <w:color w:val="000000"/>
        </w:rPr>
        <w:t xml:space="preserve">(границы зон подвижные). </w:t>
      </w:r>
      <w:proofErr w:type="gramStart"/>
      <w:r w:rsidRPr="00B6675D">
        <w:rPr>
          <w:color w:val="000000"/>
        </w:rPr>
        <w:t>Между спокойной и активной зонами – крупные универсальные игровые макеты пространства (легко перемещаемые), разнообразные ширмы (до 50 см высотой), объемные напольные модули.</w:t>
      </w:r>
      <w:proofErr w:type="gramEnd"/>
      <w:r w:rsidRPr="00B6675D">
        <w:rPr>
          <w:color w:val="000000"/>
        </w:rPr>
        <w:t xml:space="preserve"> Между активной и рабочей зонами – перемещаемые стеллажи с легким оборудованием для подвижных игр с правилами, объемные напольные модули. </w:t>
      </w:r>
      <w:proofErr w:type="gramStart"/>
      <w:r w:rsidRPr="00B6675D">
        <w:rPr>
          <w:color w:val="000000"/>
        </w:rPr>
        <w:t>Между спокойной и рабочей зонами – перемещаемые стеллажи с настольными играми с правилами, материалами для познавательно-исследовательской деятельности.</w:t>
      </w:r>
      <w:proofErr w:type="gramEnd"/>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lastRenderedPageBreak/>
        <w:t>Особое внимание</w:t>
      </w:r>
      <w:r w:rsidRPr="00B6675D">
        <w:rPr>
          <w:color w:val="000000"/>
        </w:rPr>
        <w:t> следует уделять </w:t>
      </w:r>
      <w:r w:rsidRPr="00B6675D">
        <w:rPr>
          <w:i/>
          <w:iCs/>
          <w:color w:val="000000"/>
        </w:rPr>
        <w:t>рабочей зоне</w:t>
      </w:r>
      <w:r w:rsidRPr="00B6675D">
        <w:rPr>
          <w:color w:val="000000"/>
        </w:rPr>
        <w:t xml:space="preserve">. ФГОС предусматривает партнерскую форму занятий - воспитатель вместе с детьми, то стабильную учебную зону надо превратить в полифункциональное, трансформируемое пространство, с легкостью меняющее свой облик: «Мастерская» – для продуктивной деятельности, «Лаборатория» для занятий познавательно-исследовательской деятельностью, и место свободной деятельности детей по интересам вне занятий. На занятиях воспитатель занимает место рядом с детьми за общим столом. Занятие продуктивной деятельностью больше подходит в рабочей зоне, а совместное конструирование из крупного напольного конструктора целесообразно осуществлять в активной зоне. Чтение и рассматривание книг – тяготеет к спокойной зоне, хотя и не исключает </w:t>
      </w:r>
      <w:proofErr w:type="gramStart"/>
      <w:r w:rsidRPr="00B6675D">
        <w:rPr>
          <w:color w:val="000000"/>
        </w:rPr>
        <w:t>рабочую</w:t>
      </w:r>
      <w:proofErr w:type="gramEnd"/>
      <w:r w:rsidRPr="00B6675D">
        <w:rPr>
          <w:color w:val="000000"/>
        </w:rPr>
        <w:t>. Познавательно-исследовательская деятельность может охватывать все пространство! Размещение материала должно быть функциональным, а не витринным, чтобы ребенку было удобно их взять, перенести с места на место, не рассыпая и не мешая рядом играющим детям. «Витринная красота» интерьера с расставленными на полках шкафов игрушками и пособиями, зачастую недоступными детям, должна уступить место «функциональной красоте». Материалы следует хранить в удобных и практичных емкостях (пластиковых, картонных, деревянных, корзинках и т.п.) с яркими метками-значками, облегчающими выбор. Важно, чтобы предметная среда имела характер открытой, незамкнутой системы, способной к корректировке и развитию. Иначе говоря, среда должна быть не только развивающая, но и развивающаяся.</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Варианты организации рабочей зоны в группе.</w:t>
      </w:r>
      <w:r w:rsidRPr="00B6675D">
        <w:rPr>
          <w:color w:val="000000"/>
        </w:rPr>
        <w:t> Создавая развивающую предметно - пространственную среду любой группы, необходимо учитывать способности и возможности каждого ребенка, психологические особенности возрастной группы с ведущей деятельностью данного возраста, на которую нацелена данная среда.</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Младшая группа:</w:t>
      </w:r>
      <w:r w:rsidRPr="00B6675D">
        <w:rPr>
          <w:color w:val="000000"/>
        </w:rPr>
        <w:t> Для детей этого возраста – достаточно большое пространство в группе для удовлетворения потребности в двигательной активности.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 В младшем возрасте дети активно познают окружающий мир, свойства предметов, их назначение и т.д., поэтому необходимо насытить группу предметами для сенсорного развития, предметами и играми для развития мелкой моторики.</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Средняя группа:</w:t>
      </w:r>
      <w:r w:rsidRPr="00B6675D">
        <w:rPr>
          <w:color w:val="000000"/>
        </w:rPr>
        <w:t> Организация жизни и воспитание детей в этой группе направлены на дальнейшее развитие умения понимать окружающих людей, проявлять к ним доброжелательное отношение, стремится к общению и взаимодействию. Повышенная обидчивость представляет собой возрастной феномен. Необходимо предусмотреть место для временного уединения дошкольника, где он может подумать, помечтать. Этот возраст – время расцвета сюжетно-ролевых игр, появляются ролевые взаимодействия. Повышается познавательная активность, все новое, пусть не совсем понятное, привлекает детей. Повышается познавательный мотив, поэтому чтобы поддержать и развивать эту познавательную активность необходимо в группе иметь достаточное количество предметов, материалов, содержащих информацию, выходящую за рамки программы.</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Старшая группа:</w:t>
      </w:r>
      <w:r w:rsidRPr="00B6675D">
        <w:rPr>
          <w:color w:val="000000"/>
        </w:rPr>
        <w:t xml:space="preserve"> В этом возрасте происходит интенсивное развитие интеллектуальной, нравственно-волевой и эмоциональной сфер личности. Важно выделить место для того, чтобы дети могли участвовать во всём многообразии игр (дидактических, развивающих, логико-математических и др.). Обязательно наличие уголка для детского экспериментирования, разнообразной конструктивной деятельности. Старший возраст – возраст интенсивно рисующий, более 1000 рисунков за год. Поэтому всевозможные материалы и средства для изобразительной деятельности. Конструктивная деятельность </w:t>
      </w:r>
      <w:r w:rsidRPr="00B6675D">
        <w:rPr>
          <w:color w:val="000000"/>
        </w:rPr>
        <w:lastRenderedPageBreak/>
        <w:t xml:space="preserve">может осуществляться на основе схем, по определенным правилам – наличие разнообразных схем, шифровок и т.д. Развивается диалогическая речь – </w:t>
      </w:r>
      <w:proofErr w:type="gramStart"/>
      <w:r w:rsidRPr="00B6675D">
        <w:rPr>
          <w:color w:val="000000"/>
        </w:rPr>
        <w:t>побольше</w:t>
      </w:r>
      <w:proofErr w:type="gramEnd"/>
      <w:r w:rsidRPr="00B6675D">
        <w:rPr>
          <w:color w:val="000000"/>
        </w:rPr>
        <w:t xml:space="preserve"> картин и картинок, серии картин для составления рассказа, установления последовательности, сочинения сказок. Используются также схемы, таблицы. Усложняются сюжетно-ролевые игры.</w:t>
      </w: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i/>
          <w:iCs/>
          <w:color w:val="000000"/>
        </w:rPr>
        <w:t>Подготовительная группа:</w:t>
      </w:r>
      <w:r w:rsidRPr="00B6675D">
        <w:rPr>
          <w:color w:val="000000"/>
        </w:rPr>
        <w:t xml:space="preserve"> РППС в этом возрасте организуется так, чтобы каждый ребёнок имел возможность заниматься любимым делом. Для самостоятельной деятельности дети должны иметь открытый доступ к материалам и пособиям. В групповой комнате необходимо выделить уголок природы, уголок для ручного труда, для рассматривания книг, для самостоятельной музыкальной и изобразительной деятельности детей. Расстановка столов, секционных шкафов, размещение игрушек, учебных пособий производится таким образом, чтобы дети не только могли самостоятельно брать и укладывать на место учебный и игровой материал, но при необходимости и передвинуть часть оборудования, освободить площадь групповой комнаты для коллективных игр со строительным материалом или другими игрушками, пособиями.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целесообразно несколько центров сюжетно-ролевых игр. </w:t>
      </w:r>
      <w:proofErr w:type="gramStart"/>
      <w:r w:rsidRPr="00B6675D">
        <w:rPr>
          <w:color w:val="000000"/>
        </w:rPr>
        <w:t>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для познавательно - речевого развития детей,: репродукции с картин, иллюстрации, детская художественная литература, счёты, счётная лесенка, линейки, сосуды разного объёма, конфигурации, мерные стаканы, настенные часы, календари, глобус, географические карты, лупа, спиртовки, открытки, слайды с разными климатическими зонами, с основными космическими явлениями</w:t>
      </w:r>
      <w:proofErr w:type="gramEnd"/>
      <w:r w:rsidRPr="00B6675D">
        <w:rPr>
          <w:color w:val="000000"/>
        </w:rPr>
        <w:t>, куклы в национальных костюмах, иллюстрации со средствами передвижения, коммуникации, дидактические игры по программе, а также материалы, побуждающие детей к освоению грамоты.</w:t>
      </w:r>
    </w:p>
    <w:p w:rsidR="00B6675D" w:rsidRPr="00B6675D" w:rsidRDefault="00B6675D" w:rsidP="00B6675D">
      <w:pPr>
        <w:pStyle w:val="a3"/>
        <w:shd w:val="clear" w:color="auto" w:fill="FFFFFF"/>
        <w:spacing w:before="0" w:beforeAutospacing="0" w:after="0" w:afterAutospacing="0" w:line="210" w:lineRule="atLeast"/>
        <w:jc w:val="both"/>
        <w:rPr>
          <w:color w:val="181818"/>
        </w:rPr>
      </w:pPr>
    </w:p>
    <w:p w:rsidR="00B6675D" w:rsidRPr="00B6675D" w:rsidRDefault="00B6675D" w:rsidP="00B6675D">
      <w:pPr>
        <w:pStyle w:val="a3"/>
        <w:shd w:val="clear" w:color="auto" w:fill="FFFFFF"/>
        <w:spacing w:before="0" w:beforeAutospacing="0" w:after="0" w:afterAutospacing="0" w:line="210" w:lineRule="atLeast"/>
        <w:jc w:val="both"/>
        <w:rPr>
          <w:color w:val="181818"/>
        </w:rPr>
      </w:pPr>
      <w:r w:rsidRPr="00B6675D">
        <w:rPr>
          <w:b/>
          <w:bCs/>
          <w:color w:val="000000"/>
        </w:rPr>
        <w:t>Используемая литература:</w:t>
      </w:r>
    </w:p>
    <w:p w:rsidR="00B6675D" w:rsidRPr="00B6675D" w:rsidRDefault="00B6675D" w:rsidP="00B6675D">
      <w:pPr>
        <w:pStyle w:val="a3"/>
        <w:numPr>
          <w:ilvl w:val="0"/>
          <w:numId w:val="2"/>
        </w:numPr>
        <w:shd w:val="clear" w:color="auto" w:fill="FFFFFF"/>
        <w:spacing w:before="0" w:beforeAutospacing="0" w:after="0" w:afterAutospacing="0" w:line="210" w:lineRule="atLeast"/>
        <w:ind w:left="0"/>
        <w:jc w:val="both"/>
        <w:rPr>
          <w:color w:val="181818"/>
        </w:rPr>
      </w:pPr>
      <w:r w:rsidRPr="00B6675D">
        <w:rPr>
          <w:color w:val="000000"/>
        </w:rPr>
        <w:t>ФГОС дошкольного образования;</w:t>
      </w:r>
    </w:p>
    <w:p w:rsidR="00B6675D" w:rsidRPr="00B6675D" w:rsidRDefault="00B6675D" w:rsidP="00B6675D">
      <w:pPr>
        <w:pStyle w:val="a3"/>
        <w:numPr>
          <w:ilvl w:val="0"/>
          <w:numId w:val="2"/>
        </w:numPr>
        <w:shd w:val="clear" w:color="auto" w:fill="FFFFFF"/>
        <w:spacing w:before="0" w:beforeAutospacing="0" w:after="0" w:afterAutospacing="0" w:line="210" w:lineRule="atLeast"/>
        <w:ind w:left="0"/>
        <w:jc w:val="both"/>
        <w:rPr>
          <w:color w:val="181818"/>
        </w:rPr>
      </w:pPr>
      <w:r w:rsidRPr="00B6675D">
        <w:rPr>
          <w:color w:val="000000"/>
        </w:rPr>
        <w:t>Журнал «Дошкольная педагогика» № 2 2013 г.;</w:t>
      </w:r>
    </w:p>
    <w:p w:rsidR="00B6675D" w:rsidRPr="00B6675D" w:rsidRDefault="00B6675D" w:rsidP="00B6675D">
      <w:pPr>
        <w:pStyle w:val="a3"/>
        <w:numPr>
          <w:ilvl w:val="0"/>
          <w:numId w:val="2"/>
        </w:numPr>
        <w:shd w:val="clear" w:color="auto" w:fill="FFFFFF"/>
        <w:spacing w:before="0" w:beforeAutospacing="0" w:after="0" w:afterAutospacing="0" w:line="210" w:lineRule="atLeast"/>
        <w:ind w:left="0"/>
        <w:jc w:val="both"/>
        <w:rPr>
          <w:color w:val="181818"/>
        </w:rPr>
      </w:pPr>
      <w:r w:rsidRPr="00B6675D">
        <w:rPr>
          <w:color w:val="000000"/>
        </w:rPr>
        <w:t>Журнал «Справочник старшего воспитателя дошкольного учреждения» №8 (август) 2014 год;</w:t>
      </w:r>
    </w:p>
    <w:p w:rsidR="00B6675D" w:rsidRPr="00B6675D" w:rsidRDefault="00B6675D" w:rsidP="00B6675D">
      <w:pPr>
        <w:pStyle w:val="a3"/>
        <w:numPr>
          <w:ilvl w:val="0"/>
          <w:numId w:val="2"/>
        </w:numPr>
        <w:shd w:val="clear" w:color="auto" w:fill="FFFFFF"/>
        <w:spacing w:before="0" w:beforeAutospacing="0" w:after="0" w:afterAutospacing="0" w:line="210" w:lineRule="atLeast"/>
        <w:ind w:left="0"/>
        <w:jc w:val="both"/>
        <w:rPr>
          <w:color w:val="181818"/>
        </w:rPr>
      </w:pPr>
      <w:r w:rsidRPr="00B6675D">
        <w:rPr>
          <w:color w:val="000000"/>
        </w:rPr>
        <w:t>Короткова Н.А., Глушкова Г.В., Мусиенко С.И. Предметно-пространственная среда детского сада: старший дошкольный возраст, ООО «Издательство национальное образование, 2014 г.;</w:t>
      </w:r>
    </w:p>
    <w:p w:rsidR="00B6675D" w:rsidRDefault="00B6675D" w:rsidP="00B6675D">
      <w:pPr>
        <w:pStyle w:val="a3"/>
        <w:numPr>
          <w:ilvl w:val="0"/>
          <w:numId w:val="2"/>
        </w:numPr>
        <w:shd w:val="clear" w:color="auto" w:fill="FFFFFF"/>
        <w:spacing w:before="0" w:beforeAutospacing="0" w:after="0" w:afterAutospacing="0" w:line="210" w:lineRule="atLeast"/>
        <w:ind w:left="0"/>
        <w:jc w:val="both"/>
        <w:rPr>
          <w:color w:val="181818"/>
        </w:rPr>
      </w:pPr>
      <w:proofErr w:type="spellStart"/>
      <w:r w:rsidRPr="00B6675D">
        <w:rPr>
          <w:color w:val="000000"/>
        </w:rPr>
        <w:t>Цквитария</w:t>
      </w:r>
      <w:proofErr w:type="spellEnd"/>
      <w:r w:rsidRPr="00B6675D">
        <w:rPr>
          <w:color w:val="000000"/>
        </w:rPr>
        <w:t xml:space="preserve"> Т.А., В помощь старшему воспитателю. Книга 2: Диагностика, предметно-пространственная среда, ООО «Издательство национальное образование, 2014 г.</w:t>
      </w:r>
      <w:r>
        <w:rPr>
          <w:color w:val="181818"/>
        </w:rPr>
        <w:t>6</w:t>
      </w:r>
    </w:p>
    <w:p w:rsidR="001222FD" w:rsidRPr="00B6675D" w:rsidRDefault="00B6675D" w:rsidP="00B6675D">
      <w:pPr>
        <w:pStyle w:val="a3"/>
        <w:numPr>
          <w:ilvl w:val="0"/>
          <w:numId w:val="2"/>
        </w:numPr>
        <w:shd w:val="clear" w:color="auto" w:fill="FFFFFF"/>
        <w:spacing w:before="0" w:beforeAutospacing="0" w:after="0" w:afterAutospacing="0" w:line="210" w:lineRule="atLeast"/>
        <w:ind w:left="0"/>
        <w:jc w:val="both"/>
        <w:rPr>
          <w:color w:val="181818"/>
        </w:rPr>
      </w:pPr>
      <w:bookmarkStart w:id="0" w:name="_GoBack"/>
      <w:bookmarkEnd w:id="0"/>
      <w:r w:rsidRPr="00B6675D">
        <w:rPr>
          <w:color w:val="000000"/>
        </w:rPr>
        <w:t>Интернет-ресурс.</w:t>
      </w:r>
      <w:r w:rsidRPr="00B6675D">
        <w:t xml:space="preserve"> </w:t>
      </w:r>
      <w:r w:rsidRPr="00B6675D">
        <w:rPr>
          <w:color w:val="000000"/>
        </w:rPr>
        <w:t>https://infourok.ru/</w:t>
      </w:r>
      <w:r w:rsidRPr="00B6675D">
        <w:t xml:space="preserve"> </w:t>
      </w:r>
    </w:p>
    <w:sectPr w:rsidR="001222FD" w:rsidRPr="00B6675D" w:rsidSect="00122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3852"/>
    <w:multiLevelType w:val="multilevel"/>
    <w:tmpl w:val="9CBE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D589A"/>
    <w:multiLevelType w:val="multilevel"/>
    <w:tmpl w:val="A8B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7D30"/>
    <w:rsid w:val="001222FD"/>
    <w:rsid w:val="00B57D30"/>
    <w:rsid w:val="00B6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10763</Characters>
  <Application>Microsoft Office Word</Application>
  <DocSecurity>0</DocSecurity>
  <Lines>89</Lines>
  <Paragraphs>25</Paragraphs>
  <ScaleCrop>false</ScaleCrop>
  <Company>SPecialiST RePack</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2022-05-13T15:44:00Z</dcterms:created>
  <dcterms:modified xsi:type="dcterms:W3CDTF">2022-05-13T15:46:00Z</dcterms:modified>
</cp:coreProperties>
</file>